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733A4" w14:textId="3190B894" w:rsidR="0050530C" w:rsidRPr="00593BC5" w:rsidRDefault="0050530C" w:rsidP="0050530C">
      <w:pPr>
        <w:rPr>
          <w:color w:val="000000" w:themeColor="text1"/>
        </w:rPr>
      </w:pPr>
    </w:p>
    <w:p w14:paraId="6D4AF20E" w14:textId="77777777" w:rsidR="00F00FC9" w:rsidRDefault="00F00FC9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51E40135" w14:textId="77777777">
        <w:trPr>
          <w:tblHeader/>
        </w:trPr>
        <w:tc>
          <w:tcPr>
            <w:tcW w:w="610" w:type="dxa"/>
          </w:tcPr>
          <w:p w14:paraId="6F34E59D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5B59B2D7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1B2ED73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6F035582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6DF4581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D8160F" w14:paraId="692AB09C" w14:textId="77777777">
        <w:tc>
          <w:tcPr>
            <w:tcW w:w="610" w:type="dxa"/>
          </w:tcPr>
          <w:p w14:paraId="330F3787" w14:textId="77777777" w:rsidR="00354571" w:rsidRDefault="00354571"/>
          <w:p w14:paraId="69D217BF" w14:textId="77777777" w:rsidR="00354571" w:rsidRDefault="00354571"/>
        </w:tc>
        <w:tc>
          <w:tcPr>
            <w:tcW w:w="900" w:type="dxa"/>
          </w:tcPr>
          <w:p w14:paraId="3BE5F532" w14:textId="77777777" w:rsidR="00354571" w:rsidRDefault="00354571"/>
        </w:tc>
        <w:tc>
          <w:tcPr>
            <w:tcW w:w="5648" w:type="dxa"/>
          </w:tcPr>
          <w:p w14:paraId="2CD4C3B0" w14:textId="77777777" w:rsidR="002C6CDC" w:rsidRDefault="002C6CDC" w:rsidP="002C6CDC">
            <w:pPr>
              <w:rPr>
                <w:rFonts w:cs="Arial"/>
              </w:rPr>
            </w:pPr>
          </w:p>
          <w:p w14:paraId="3ECCAE90" w14:textId="7E3099A0" w:rsidR="002C6CDC" w:rsidRDefault="002C6CDC" w:rsidP="002C6CDC">
            <w:pPr>
              <w:rPr>
                <w:rFonts w:cs="Arial"/>
              </w:rPr>
            </w:pPr>
            <w:r w:rsidRPr="00F01264">
              <w:rPr>
                <w:rFonts w:cs="Arial"/>
              </w:rPr>
              <w:t xml:space="preserve">Q-SYS </w:t>
            </w:r>
            <w:r w:rsidR="00BA6E4C">
              <w:rPr>
                <w:rFonts w:cs="Arial"/>
              </w:rPr>
              <w:t>AV-Bridging</w:t>
            </w:r>
            <w:r w:rsidRPr="00F01264">
              <w:rPr>
                <w:rFonts w:cs="Arial"/>
              </w:rPr>
              <w:t xml:space="preserve"> Softwarelizenz, Kauflizenz (zeitlich unbegrenz</w:t>
            </w:r>
            <w:r>
              <w:rPr>
                <w:rFonts w:cs="Arial"/>
              </w:rPr>
              <w:t xml:space="preserve">t) </w:t>
            </w:r>
            <w:r w:rsidR="00BA6E4C">
              <w:rPr>
                <w:rFonts w:cs="Arial"/>
              </w:rPr>
              <w:t>zur Aktivierung der AV-Bridging-Funktion bei Q-SYS TSC-70-G3, TSC-101-G3 und NV-21-HU.</w:t>
            </w:r>
          </w:p>
          <w:p w14:paraId="4D518ECC" w14:textId="4AD668D2" w:rsidR="002C6CDC" w:rsidRDefault="00BA6E4C" w:rsidP="002C6CDC">
            <w:pPr>
              <w:rPr>
                <w:rFonts w:cs="Arial"/>
              </w:rPr>
            </w:pPr>
            <w:r>
              <w:rPr>
                <w:rFonts w:cs="Arial"/>
              </w:rPr>
              <w:t>Die Lizenz ist gerätegebunden und mit unbegrenzter Gültigkeit.</w:t>
            </w:r>
          </w:p>
          <w:p w14:paraId="1E800E38" w14:textId="7FC1A6F5" w:rsidR="00BA6E4C" w:rsidRDefault="00BA6E4C" w:rsidP="002C6CDC">
            <w:pPr>
              <w:rPr>
                <w:rFonts w:cs="Arial"/>
              </w:rPr>
            </w:pPr>
            <w:r>
              <w:rPr>
                <w:rFonts w:cs="Arial"/>
              </w:rPr>
              <w:t>Zur Nutzung von USB-Audio- und / oder Videobridging über den Q-SYS-Designer und für HID-Routing von unterstützten Drittgeräten wird für jedes oben aufgeführte Q-SYS-Peripheriegerät eine eigene Lizenz benötigt.</w:t>
            </w:r>
          </w:p>
          <w:p w14:paraId="4CE002B2" w14:textId="77777777" w:rsidR="002C6CDC" w:rsidRDefault="002C6CDC" w:rsidP="002C6CDC">
            <w:pPr>
              <w:rPr>
                <w:rFonts w:cs="Arial"/>
              </w:rPr>
            </w:pPr>
          </w:p>
          <w:p w14:paraId="6454D41B" w14:textId="77777777" w:rsidR="002C6CDC" w:rsidRDefault="002C6CDC" w:rsidP="002C6CDC">
            <w:pPr>
              <w:rPr>
                <w:rFonts w:cs="Arial"/>
              </w:rPr>
            </w:pPr>
          </w:p>
          <w:p w14:paraId="0A4D7E77" w14:textId="77777777" w:rsidR="002C6CDC" w:rsidRDefault="002C6CDC" w:rsidP="002C6CDC">
            <w:pPr>
              <w:rPr>
                <w:rFonts w:cs="Arial"/>
              </w:rPr>
            </w:pPr>
          </w:p>
          <w:p w14:paraId="70716F6C" w14:textId="69BE768A" w:rsidR="00354571" w:rsidRPr="00D8160F" w:rsidRDefault="002C6CDC" w:rsidP="002C6CDC">
            <w:pPr>
              <w:tabs>
                <w:tab w:val="right" w:pos="4250"/>
              </w:tabs>
            </w:pPr>
            <w:r>
              <w:t>Hersteller</w:t>
            </w:r>
            <w:r w:rsidRPr="00D8160F">
              <w:t>: QSC</w:t>
            </w:r>
            <w:r w:rsidRPr="00D8160F">
              <w:br/>
              <w:t xml:space="preserve">Typ: </w:t>
            </w:r>
            <w:r w:rsidR="00593BC5" w:rsidRPr="00593BC5">
              <w:t>SL</w:t>
            </w:r>
            <w:r w:rsidR="00BA6E4C">
              <w:t>QBR</w:t>
            </w:r>
            <w:r w:rsidR="00593BC5" w:rsidRPr="00593BC5">
              <w:t>-P</w:t>
            </w:r>
          </w:p>
        </w:tc>
        <w:tc>
          <w:tcPr>
            <w:tcW w:w="1134" w:type="dxa"/>
          </w:tcPr>
          <w:p w14:paraId="4ACC7626" w14:textId="77777777" w:rsidR="00354571" w:rsidRPr="00D8160F" w:rsidRDefault="00354571"/>
        </w:tc>
        <w:tc>
          <w:tcPr>
            <w:tcW w:w="1318" w:type="dxa"/>
          </w:tcPr>
          <w:p w14:paraId="20DD69A5" w14:textId="77777777" w:rsidR="00354571" w:rsidRPr="00D8160F" w:rsidRDefault="00354571"/>
        </w:tc>
      </w:tr>
    </w:tbl>
    <w:p w14:paraId="25C6506D" w14:textId="77777777" w:rsidR="00354571" w:rsidRPr="00D8160F" w:rsidRDefault="00354571"/>
    <w:p w14:paraId="440833D3" w14:textId="77777777" w:rsidR="00354571" w:rsidRPr="00D8160F" w:rsidRDefault="00354571"/>
    <w:sectPr w:rsidR="00354571" w:rsidRPr="00D8160F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88CCD" w14:textId="77777777" w:rsidR="00517444" w:rsidRDefault="00517444" w:rsidP="005177BF">
      <w:r>
        <w:separator/>
      </w:r>
    </w:p>
  </w:endnote>
  <w:endnote w:type="continuationSeparator" w:id="0">
    <w:p w14:paraId="1866F683" w14:textId="77777777" w:rsidR="00517444" w:rsidRDefault="00517444" w:rsidP="005177BF">
      <w:r>
        <w:continuationSeparator/>
      </w:r>
    </w:p>
  </w:endnote>
  <w:endnote w:type="continuationNotice" w:id="1">
    <w:p w14:paraId="79DE5977" w14:textId="77777777" w:rsidR="00517444" w:rsidRDefault="005174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00AC" w14:textId="47F2C1AD" w:rsidR="005177BF" w:rsidRPr="00477F21" w:rsidRDefault="005177BF" w:rsidP="005177BF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</w:t>
    </w:r>
    <w:r w:rsidR="00852DE7">
      <w:rPr>
        <w:sz w:val="18"/>
        <w:szCs w:val="18"/>
      </w:rPr>
      <w:t>3</w:t>
    </w:r>
    <w:r>
      <w:rPr>
        <w:sz w:val="18"/>
        <w:szCs w:val="18"/>
      </w:rPr>
      <w:t>/202</w:t>
    </w:r>
    <w:r w:rsidR="00852DE7">
      <w:rPr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EE4B" w14:textId="77777777" w:rsidR="00517444" w:rsidRDefault="00517444" w:rsidP="005177BF">
      <w:r>
        <w:separator/>
      </w:r>
    </w:p>
  </w:footnote>
  <w:footnote w:type="continuationSeparator" w:id="0">
    <w:p w14:paraId="5D098641" w14:textId="77777777" w:rsidR="00517444" w:rsidRDefault="00517444" w:rsidP="005177BF">
      <w:r>
        <w:continuationSeparator/>
      </w:r>
    </w:p>
  </w:footnote>
  <w:footnote w:type="continuationNotice" w:id="1">
    <w:p w14:paraId="5E21E269" w14:textId="77777777" w:rsidR="00517444" w:rsidRDefault="005174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115075">
    <w:abstractNumId w:val="0"/>
  </w:num>
  <w:num w:numId="2" w16cid:durableId="848526464">
    <w:abstractNumId w:val="1"/>
  </w:num>
  <w:num w:numId="3" w16cid:durableId="297418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051C4"/>
    <w:rsid w:val="0002056E"/>
    <w:rsid w:val="0004345F"/>
    <w:rsid w:val="00070278"/>
    <w:rsid w:val="00081AC3"/>
    <w:rsid w:val="0009654B"/>
    <w:rsid w:val="00096FE2"/>
    <w:rsid w:val="000B733D"/>
    <w:rsid w:val="000C314A"/>
    <w:rsid w:val="000E3FE9"/>
    <w:rsid w:val="00110FEF"/>
    <w:rsid w:val="00113778"/>
    <w:rsid w:val="001278AD"/>
    <w:rsid w:val="001452F2"/>
    <w:rsid w:val="00176D71"/>
    <w:rsid w:val="001834C1"/>
    <w:rsid w:val="001A4860"/>
    <w:rsid w:val="001C022A"/>
    <w:rsid w:val="001C5CB9"/>
    <w:rsid w:val="001D57ED"/>
    <w:rsid w:val="001E1A11"/>
    <w:rsid w:val="001E3B54"/>
    <w:rsid w:val="001F2B02"/>
    <w:rsid w:val="002123BC"/>
    <w:rsid w:val="00217256"/>
    <w:rsid w:val="00245B8E"/>
    <w:rsid w:val="00246C58"/>
    <w:rsid w:val="00247176"/>
    <w:rsid w:val="002B2E95"/>
    <w:rsid w:val="002C5FA2"/>
    <w:rsid w:val="002C6CDC"/>
    <w:rsid w:val="002D055C"/>
    <w:rsid w:val="002D77FA"/>
    <w:rsid w:val="002F6E56"/>
    <w:rsid w:val="00322CE2"/>
    <w:rsid w:val="00354571"/>
    <w:rsid w:val="00355534"/>
    <w:rsid w:val="003632C6"/>
    <w:rsid w:val="003A1A9F"/>
    <w:rsid w:val="003C426E"/>
    <w:rsid w:val="003D0018"/>
    <w:rsid w:val="003D029C"/>
    <w:rsid w:val="00401426"/>
    <w:rsid w:val="00410EC6"/>
    <w:rsid w:val="0041443F"/>
    <w:rsid w:val="0042085E"/>
    <w:rsid w:val="00427EC7"/>
    <w:rsid w:val="00436292"/>
    <w:rsid w:val="00437E2F"/>
    <w:rsid w:val="00444431"/>
    <w:rsid w:val="004600A3"/>
    <w:rsid w:val="004A1275"/>
    <w:rsid w:val="004C6A82"/>
    <w:rsid w:val="004D48C1"/>
    <w:rsid w:val="004F3062"/>
    <w:rsid w:val="0050530C"/>
    <w:rsid w:val="00517444"/>
    <w:rsid w:val="005177BF"/>
    <w:rsid w:val="00523C86"/>
    <w:rsid w:val="00555168"/>
    <w:rsid w:val="0056712A"/>
    <w:rsid w:val="00587C3C"/>
    <w:rsid w:val="00593BC5"/>
    <w:rsid w:val="005A122B"/>
    <w:rsid w:val="005D627B"/>
    <w:rsid w:val="0061238C"/>
    <w:rsid w:val="006328B8"/>
    <w:rsid w:val="00643359"/>
    <w:rsid w:val="00651EF7"/>
    <w:rsid w:val="00662E64"/>
    <w:rsid w:val="00685ED7"/>
    <w:rsid w:val="00691762"/>
    <w:rsid w:val="006E6D85"/>
    <w:rsid w:val="0072608A"/>
    <w:rsid w:val="00753153"/>
    <w:rsid w:val="007C52D8"/>
    <w:rsid w:val="007F1075"/>
    <w:rsid w:val="007F3856"/>
    <w:rsid w:val="007F5C43"/>
    <w:rsid w:val="008031C8"/>
    <w:rsid w:val="00805D52"/>
    <w:rsid w:val="008153F3"/>
    <w:rsid w:val="00841818"/>
    <w:rsid w:val="00852DE7"/>
    <w:rsid w:val="0085785F"/>
    <w:rsid w:val="008635E5"/>
    <w:rsid w:val="00892432"/>
    <w:rsid w:val="008C4B3B"/>
    <w:rsid w:val="008E27B8"/>
    <w:rsid w:val="009803D3"/>
    <w:rsid w:val="009965CC"/>
    <w:rsid w:val="009B39AD"/>
    <w:rsid w:val="009C0AAC"/>
    <w:rsid w:val="009D47C7"/>
    <w:rsid w:val="009F50B0"/>
    <w:rsid w:val="00A43348"/>
    <w:rsid w:val="00A561E9"/>
    <w:rsid w:val="00A96025"/>
    <w:rsid w:val="00AC6992"/>
    <w:rsid w:val="00AD7F49"/>
    <w:rsid w:val="00AF3F38"/>
    <w:rsid w:val="00AF6D94"/>
    <w:rsid w:val="00B170B0"/>
    <w:rsid w:val="00B20693"/>
    <w:rsid w:val="00B65C8D"/>
    <w:rsid w:val="00B77BF9"/>
    <w:rsid w:val="00BA6E4C"/>
    <w:rsid w:val="00BB051A"/>
    <w:rsid w:val="00BD4931"/>
    <w:rsid w:val="00BF5035"/>
    <w:rsid w:val="00C031CC"/>
    <w:rsid w:val="00C16F46"/>
    <w:rsid w:val="00C401EC"/>
    <w:rsid w:val="00CB647B"/>
    <w:rsid w:val="00CD7482"/>
    <w:rsid w:val="00CE2D61"/>
    <w:rsid w:val="00D07418"/>
    <w:rsid w:val="00D1198E"/>
    <w:rsid w:val="00D52587"/>
    <w:rsid w:val="00D8160F"/>
    <w:rsid w:val="00DA242B"/>
    <w:rsid w:val="00DA5A98"/>
    <w:rsid w:val="00DB2660"/>
    <w:rsid w:val="00DF0D85"/>
    <w:rsid w:val="00E142E7"/>
    <w:rsid w:val="00E2383C"/>
    <w:rsid w:val="00E425F2"/>
    <w:rsid w:val="00E45D37"/>
    <w:rsid w:val="00EC1310"/>
    <w:rsid w:val="00EF5FBA"/>
    <w:rsid w:val="00F00FC9"/>
    <w:rsid w:val="00F01264"/>
    <w:rsid w:val="00F35A70"/>
    <w:rsid w:val="00F97015"/>
    <w:rsid w:val="00FB6EF6"/>
    <w:rsid w:val="00FC2C4B"/>
    <w:rsid w:val="00FC463A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A2FA2"/>
  <w15:chartTrackingRefBased/>
  <w15:docId w15:val="{EC66E26E-4401-452A-AB9D-4052545C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177B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177BF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5177B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177BF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348</Value>
    </Product_x0020_Series>
    <Description_x0020__x002d__x0020_pro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Library/productResources/dn/Licensing</RMSPATH>
    <IconOverlay xmlns="http://schemas.microsoft.com/sharepoint/v4" xsi:nil="true"/>
    <Long_x0020_Title xmlns="b5b92a68-70fa-4cdf-bb3a-b7b4ce44b88d">Architectural and Engineering Specifications  - SLQBR-P (German)</Long_x0020_Title>
    <UpdateTitlewithName xmlns="b5b92a68-70fa-4cdf-bb3a-b7b4ce44b88d">
      <Url xsi:nil="true"/>
      <Description xsi:nil="true"/>
    </UpdateTitlewithName>
    <Affected_x0020_Date_x0020_Range xmlns="b5b92a68-70fa-4cdf-bb3a-b7b4ce44b88d" xsi:nil="true"/>
    <Download_x0020_Link xmlns="b5b92a68-70fa-4cdf-bb3a-b7b4ce44b88d">
      <Url xsi:nil="true"/>
      <Description xsi:nil="true"/>
    </Download_x0020_Link>
    <Qual_x0020_Control xmlns="b5b92a68-70fa-4cdf-bb3a-b7b4ce44b88d">true</Qual_x0020_Control>
    <RML_Event_x0020__x0028_2_x0029_ xmlns="b5b92a68-70fa-4cdf-bb3a-b7b4ce44b88d">
      <Url>https://qsc0.sharepoint.com/sites/marketing/rms/_layouts/15/wrkstat.aspx?List=b5b92a68-70fa-4cdf-bb3a-b7b4ce44b88d&amp;WorkflowInstanceName=04c3f0ec-b2a0-4ffc-8159-7ebfc7d19c16</Url>
      <Description>Complete</Description>
    </RML_Event_x0020__x0028_2_x0029_>
    <Product_x0020_Model xmlns="b5b92a68-70fa-4cdf-bb3a-b7b4ce44b88d" xsi:nil="true"/>
    <Resource_Type xmlns="b5b92a68-70fa-4cdf-bb3a-b7b4ce44b88d">
      <Value>104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Architectural and Engineering Specifications  - SLQBR-P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SLQBR-P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SLQBR-P AV Bridging Feature License</Description_x0020__x002d__x0020_corp>
    <Product_x0020_Family xmlns="b5b92a68-70fa-4cdf-bb3a-b7b4ce44b88d">
      <Value>38</Value>
    </Product_x0020_Family>
    <Video_x0020_Width xmlns="b5b92a68-70fa-4cdf-bb3a-b7b4ce44b88d" xsi:nil="true"/>
    <Publish_x0020_now xmlns="b5b92a68-70fa-4cdf-bb3a-b7b4ce44b88d">false</Publish_x0020_now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q_dn_licensing_SLQBR-P_archengspecs_de.docx</RMSFileName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1E853557-B6C6-46A3-8F45-73AC42698911}"/>
</file>

<file path=customXml/itemProps2.xml><?xml version="1.0" encoding="utf-8"?>
<ds:datastoreItem xmlns:ds="http://schemas.openxmlformats.org/officeDocument/2006/customXml" ds:itemID="{4F1F2337-7D33-4AE7-8858-4C2D1958496F}"/>
</file>

<file path=customXml/itemProps3.xml><?xml version="1.0" encoding="utf-8"?>
<ds:datastoreItem xmlns:ds="http://schemas.openxmlformats.org/officeDocument/2006/customXml" ds:itemID="{3FFB09B6-9874-4DA7-8F1E-DEE70C4A9A5E}"/>
</file>

<file path=customXml/itemProps4.xml><?xml version="1.0" encoding="utf-8"?>
<ds:datastoreItem xmlns:ds="http://schemas.openxmlformats.org/officeDocument/2006/customXml" ds:itemID="{8C3808DF-89BA-4AEA-AD7D-477A07AD9C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q_dn_licensing_SLQBR-P_archengspecs_de.docx</dc:title>
  <dc:subject/>
  <dc:creator>QSC EMEA GmbH</dc:creator>
  <cp:keywords/>
  <cp:lastModifiedBy>Mirko Messall</cp:lastModifiedBy>
  <cp:revision>17</cp:revision>
  <dcterms:created xsi:type="dcterms:W3CDTF">2023-02-27T23:51:00Z</dcterms:created>
  <dcterms:modified xsi:type="dcterms:W3CDTF">2023-03-16T17:48:00Z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